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7066">
        <w:rPr>
          <w:rFonts w:ascii="MS Shell Dlg 2" w:hAnsi="MS Shell Dlg 2" w:cs="MS Shell Dlg 2"/>
          <w:noProof/>
          <w:sz w:val="40"/>
          <w:szCs w:val="40"/>
          <w:u w:val="single"/>
        </w:rPr>
        <w:t>Coefficient d’absorption</w:t>
      </w:r>
      <w:bookmarkStart w:id="0" w:name="_GoBack"/>
      <w:bookmarkEnd w:id="0"/>
      <w:r w:rsidR="00A55C81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pour le</w:t>
      </w:r>
      <w:r w:rsidR="00513B6C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</w:t>
      </w:r>
      <w:r w:rsidR="000176E2">
        <w:rPr>
          <w:rFonts w:ascii="MS Shell Dlg 2" w:hAnsi="MS Shell Dlg 2" w:cs="MS Shell Dlg 2"/>
          <w:noProof/>
          <w:sz w:val="40"/>
          <w:szCs w:val="40"/>
          <w:u w:val="single"/>
        </w:rPr>
        <w:t>sable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C97066" w:rsidRPr="00C97066" w:rsidRDefault="00C97066" w:rsidP="00C97066">
      <w:pPr>
        <w:spacing w:line="240" w:lineRule="auto"/>
      </w:pPr>
      <w:r w:rsidRPr="00C97066">
        <w:t>Il se présente sous la forme suivante :</w:t>
      </w:r>
    </w:p>
    <w:p w:rsidR="00C97066" w:rsidRPr="00C97066" w:rsidRDefault="00C97066" w:rsidP="00C97066">
      <w:pPr>
        <w:spacing w:line="240" w:lineRule="auto"/>
      </w:pPr>
      <w:r w:rsidRPr="00C97066">
        <w:drawing>
          <wp:anchor distT="0" distB="0" distL="114300" distR="114300" simplePos="0" relativeHeight="251660288" behindDoc="1" locked="0" layoutInCell="1" allowOverlap="1" wp14:anchorId="6A927B4E" wp14:editId="10914671">
            <wp:simplePos x="0" y="0"/>
            <wp:positionH relativeFrom="column">
              <wp:posOffset>23495</wp:posOffset>
            </wp:positionH>
            <wp:positionV relativeFrom="paragraph">
              <wp:posOffset>19685</wp:posOffset>
            </wp:positionV>
            <wp:extent cx="2419350" cy="342900"/>
            <wp:effectExtent l="19050" t="19050" r="19050" b="19050"/>
            <wp:wrapTight wrapText="bothSides">
              <wp:wrapPolygon edited="0">
                <wp:start x="-170" y="-1200"/>
                <wp:lineTo x="-170" y="21600"/>
                <wp:lineTo x="21600" y="21600"/>
                <wp:lineTo x="21600" y="-1200"/>
                <wp:lineTo x="-170" y="-1200"/>
              </wp:wrapPolygon>
            </wp:wrapTight>
            <wp:docPr id="125" name="Imag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34290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C97066">
        <w:t xml:space="preserve">Ce coefficient s’exprime en %. Il figure sur la Fiche Technique Produit remise par le producteur de granulats. </w:t>
      </w:r>
    </w:p>
    <w:p w:rsidR="00C97066" w:rsidRPr="00C97066" w:rsidRDefault="00C97066" w:rsidP="00C97066">
      <w:pPr>
        <w:spacing w:line="240" w:lineRule="auto"/>
      </w:pPr>
      <w:r w:rsidRPr="00C97066">
        <w:t>Ce coefficient permet de prendre en compte l’eau qui sera absorbée par le sable et qui ne servira pas à l’hydratation du ciment ou à l’ouvrabilité du béton.</w:t>
      </w:r>
    </w:p>
    <w:p w:rsidR="00C97066" w:rsidRPr="00C97066" w:rsidRDefault="00C97066" w:rsidP="00C97066">
      <w:pPr>
        <w:spacing w:line="240" w:lineRule="auto"/>
      </w:pPr>
      <w:r w:rsidRPr="00C97066">
        <w:t>Ce coefficient a un impact sur la quantité nécessaire au gâchage du béton suivant la méthode de formulation utilisée Dreux-</w:t>
      </w:r>
      <w:proofErr w:type="spellStart"/>
      <w:r w:rsidRPr="00C97066">
        <w:t>Gorisse</w:t>
      </w:r>
      <w:proofErr w:type="spellEnd"/>
      <w:r w:rsidRPr="00C97066">
        <w:t xml:space="preserve"> ou Baron-Ollivier. Voir les 2 exemples ci-dessous.</w:t>
      </w:r>
    </w:p>
    <w:p w:rsidR="00C97066" w:rsidRPr="00C97066" w:rsidRDefault="00C97066" w:rsidP="00C97066">
      <w:pPr>
        <w:spacing w:line="240" w:lineRule="auto"/>
        <w:rPr>
          <w:u w:val="single"/>
        </w:rPr>
      </w:pPr>
      <w:r w:rsidRPr="00C97066">
        <w:rPr>
          <w:u w:val="single"/>
        </w:rPr>
        <w:t>Exemple n°1 avec un calcul en Eau Efficace (Baron-Ollivier) :</w:t>
      </w:r>
    </w:p>
    <w:p w:rsidR="00C97066" w:rsidRPr="00C97066" w:rsidRDefault="00C97066" w:rsidP="00C97066">
      <w:pPr>
        <w:spacing w:line="240" w:lineRule="auto"/>
      </w:pPr>
      <w:r w:rsidRPr="00C97066">
        <w:t>Eau Efficace : 200 L</w:t>
      </w:r>
    </w:p>
    <w:p w:rsidR="00C97066" w:rsidRPr="00C97066" w:rsidRDefault="00C97066" w:rsidP="00C97066">
      <w:pPr>
        <w:spacing w:line="240" w:lineRule="auto"/>
      </w:pPr>
      <w:r w:rsidRPr="00C97066">
        <w:t>Teneur en humidité du sable : 4%</w:t>
      </w:r>
    </w:p>
    <w:p w:rsidR="00C97066" w:rsidRPr="00C97066" w:rsidRDefault="00C97066" w:rsidP="00C97066">
      <w:pPr>
        <w:spacing w:line="240" w:lineRule="auto"/>
      </w:pPr>
      <w:r w:rsidRPr="00C97066">
        <w:t>Coefficient d’absorption du sable : 1%</w:t>
      </w:r>
    </w:p>
    <w:p w:rsidR="00C97066" w:rsidRPr="00C97066" w:rsidRDefault="00C97066" w:rsidP="00C97066">
      <w:pPr>
        <w:spacing w:line="240" w:lineRule="auto"/>
      </w:pPr>
      <w:r w:rsidRPr="00C97066">
        <w:t xml:space="preserve">La quantité d’eau Efficace s’établira à : </w:t>
      </w:r>
    </w:p>
    <w:p w:rsidR="00C97066" w:rsidRPr="00C97066" w:rsidRDefault="00C97066" w:rsidP="00C97066">
      <w:pPr>
        <w:numPr>
          <w:ilvl w:val="0"/>
          <w:numId w:val="18"/>
        </w:numPr>
        <w:spacing w:line="240" w:lineRule="auto"/>
      </w:pPr>
      <w:r w:rsidRPr="00C97066">
        <w:t>Humidité du sable déduction faite de l’absorption : 3% soit 0.03x 200 = 60 L</w:t>
      </w:r>
    </w:p>
    <w:p w:rsidR="00C97066" w:rsidRPr="00C97066" w:rsidRDefault="00C97066" w:rsidP="00C97066">
      <w:pPr>
        <w:numPr>
          <w:ilvl w:val="0"/>
          <w:numId w:val="18"/>
        </w:numPr>
        <w:spacing w:line="240" w:lineRule="auto"/>
      </w:pPr>
      <w:r w:rsidRPr="00C97066">
        <w:t xml:space="preserve">Quantité d’eau efficace nécessaire à fournir pour le gâchage du béton : 200 – </w:t>
      </w:r>
      <w:proofErr w:type="gramStart"/>
      <w:r w:rsidRPr="00C97066">
        <w:t>60  =</w:t>
      </w:r>
      <w:proofErr w:type="gramEnd"/>
      <w:r w:rsidRPr="00C97066">
        <w:t xml:space="preserve">  140 L</w:t>
      </w:r>
    </w:p>
    <w:p w:rsidR="00C97066" w:rsidRPr="00C97066" w:rsidRDefault="00C97066" w:rsidP="00C97066">
      <w:pPr>
        <w:spacing w:line="240" w:lineRule="auto"/>
        <w:rPr>
          <w:u w:val="single"/>
        </w:rPr>
      </w:pPr>
      <w:r w:rsidRPr="00C97066">
        <w:rPr>
          <w:u w:val="single"/>
        </w:rPr>
        <w:t>Exemple n°2 avec un calcul en Eau Totale (Dreux-</w:t>
      </w:r>
      <w:proofErr w:type="spellStart"/>
      <w:r w:rsidRPr="00C97066">
        <w:rPr>
          <w:u w:val="single"/>
        </w:rPr>
        <w:t>Gorisse</w:t>
      </w:r>
      <w:proofErr w:type="spellEnd"/>
      <w:r w:rsidRPr="00C97066">
        <w:rPr>
          <w:u w:val="single"/>
        </w:rPr>
        <w:t>) :</w:t>
      </w:r>
    </w:p>
    <w:p w:rsidR="00C97066" w:rsidRPr="00C97066" w:rsidRDefault="00C97066" w:rsidP="00C97066">
      <w:pPr>
        <w:spacing w:line="240" w:lineRule="auto"/>
      </w:pPr>
      <w:r w:rsidRPr="00C97066">
        <w:t>Eau Totale : 200 L</w:t>
      </w:r>
    </w:p>
    <w:p w:rsidR="00C97066" w:rsidRPr="00C97066" w:rsidRDefault="00C97066" w:rsidP="00C97066">
      <w:pPr>
        <w:spacing w:line="240" w:lineRule="auto"/>
      </w:pPr>
      <w:r w:rsidRPr="00C97066">
        <w:t>Teneur en humidité du sable : 4%</w:t>
      </w:r>
    </w:p>
    <w:p w:rsidR="00C97066" w:rsidRPr="00C97066" w:rsidRDefault="00C97066" w:rsidP="00C97066">
      <w:pPr>
        <w:spacing w:line="240" w:lineRule="auto"/>
      </w:pPr>
      <w:r w:rsidRPr="00C97066">
        <w:t>Coefficient d’absorption du sable : 1% - Sans objet dans le cadre de la méthode Dreux-</w:t>
      </w:r>
      <w:proofErr w:type="spellStart"/>
      <w:r w:rsidRPr="00C97066">
        <w:t>Gorisse</w:t>
      </w:r>
      <w:proofErr w:type="spellEnd"/>
      <w:r w:rsidRPr="00C97066">
        <w:t>. Cet item n’apparait pas. Il n’y aura donc pas besoin de le renseigner.</w:t>
      </w:r>
    </w:p>
    <w:p w:rsidR="00C97066" w:rsidRPr="00C97066" w:rsidRDefault="00C97066" w:rsidP="00C97066">
      <w:pPr>
        <w:spacing w:line="240" w:lineRule="auto"/>
      </w:pPr>
      <w:r w:rsidRPr="00C97066">
        <w:t xml:space="preserve">La quantité d’eau Totale s’établira à : </w:t>
      </w:r>
    </w:p>
    <w:p w:rsidR="00C97066" w:rsidRPr="00C97066" w:rsidRDefault="00C97066" w:rsidP="00C97066">
      <w:pPr>
        <w:numPr>
          <w:ilvl w:val="0"/>
          <w:numId w:val="18"/>
        </w:numPr>
        <w:spacing w:line="240" w:lineRule="auto"/>
      </w:pPr>
      <w:r w:rsidRPr="00C97066">
        <w:t>Humidité du sable : 4% soit 0.04x 200 = 80 L</w:t>
      </w:r>
    </w:p>
    <w:p w:rsidR="00C97066" w:rsidRPr="00C97066" w:rsidRDefault="00C97066" w:rsidP="00C97066">
      <w:pPr>
        <w:numPr>
          <w:ilvl w:val="0"/>
          <w:numId w:val="18"/>
        </w:numPr>
        <w:spacing w:line="240" w:lineRule="auto"/>
      </w:pPr>
      <w:r w:rsidRPr="00C97066">
        <w:t xml:space="preserve">Quantité d’eau totale nécessaire à fournir pour le gâchage du béton : 200 – </w:t>
      </w:r>
      <w:proofErr w:type="gramStart"/>
      <w:r w:rsidRPr="00C97066">
        <w:t>80  =</w:t>
      </w:r>
      <w:proofErr w:type="gramEnd"/>
      <w:r w:rsidRPr="00C97066">
        <w:t xml:space="preserve">  120 L</w:t>
      </w:r>
    </w:p>
    <w:p w:rsidR="005C36A9" w:rsidRPr="00C97066" w:rsidRDefault="00C97066" w:rsidP="00C97066">
      <w:pPr>
        <w:spacing w:line="240" w:lineRule="auto"/>
      </w:pPr>
      <w:r w:rsidRPr="00C97066">
        <w:t>C’est la raison pour laquelle le coefficient d’absorption n’apparait pas dans le formulaire lors de l’utilisation de la méthode Dreux-</w:t>
      </w:r>
      <w:proofErr w:type="spellStart"/>
      <w:r w:rsidRPr="00C97066">
        <w:t>Gorisse</w:t>
      </w:r>
      <w:proofErr w:type="spellEnd"/>
      <w:r>
        <w:t xml:space="preserve"> car </w:t>
      </w:r>
      <w:r w:rsidRPr="00C97066">
        <w:t>on utilise uniquement la teneur en humidité.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333365">
        <w:t>17 juin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C97066" w:rsidRDefault="00C97066" w:rsidP="00333365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</w:t>
      </w:r>
      <w:proofErr w:type="spellStart"/>
      <w:r>
        <w:t>Festa</w:t>
      </w:r>
      <w:proofErr w:type="spellEnd"/>
      <w:r>
        <w:t xml:space="preserve">- Edition Eyrolles  </w:t>
      </w:r>
    </w:p>
    <w:p w:rsidR="009B79DA" w:rsidRDefault="00333365" w:rsidP="00333365">
      <w:pPr>
        <w:pStyle w:val="Paragraphedeliste"/>
        <w:numPr>
          <w:ilvl w:val="0"/>
          <w:numId w:val="1"/>
        </w:numPr>
        <w:spacing w:line="240" w:lineRule="auto"/>
      </w:pPr>
      <w:r w:rsidRPr="00DA113E">
        <w:t xml:space="preserve">« Les bétons – Bases et données pour leur formulation » écrit sous la direction de Jacques Baron et </w:t>
      </w:r>
      <w:proofErr w:type="spellStart"/>
      <w:r w:rsidRPr="00DA113E">
        <w:t>Jean-pierre</w:t>
      </w:r>
      <w:proofErr w:type="spellEnd"/>
      <w:r w:rsidRPr="00DA113E">
        <w:t xml:space="preserve"> Ollivier et paru aux Editions Eyrolles</w:t>
      </w:r>
      <w:r>
        <w:t xml:space="preserve"> 1996</w:t>
      </w:r>
    </w:p>
    <w:p w:rsidR="00333365" w:rsidRDefault="00333365" w:rsidP="00333365">
      <w:pPr>
        <w:pStyle w:val="Paragraphedeliste"/>
        <w:numPr>
          <w:ilvl w:val="0"/>
          <w:numId w:val="1"/>
        </w:numPr>
        <w:spacing w:line="240" w:lineRule="auto"/>
      </w:pPr>
      <w:r>
        <w:t xml:space="preserve">« Le matériau béton : Connaissances générales » - Collection Les cours de l’ENTPE – G. </w:t>
      </w:r>
      <w:proofErr w:type="spellStart"/>
      <w:r>
        <w:t>Chanvillard</w:t>
      </w:r>
      <w:proofErr w:type="spellEnd"/>
      <w:r>
        <w:t xml:space="preserve"> - Edition ENTPE ALEAS 1999</w:t>
      </w:r>
    </w:p>
    <w:sectPr w:rsidR="00333365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8083C"/>
    <w:multiLevelType w:val="hybridMultilevel"/>
    <w:tmpl w:val="328EC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60319"/>
    <w:multiLevelType w:val="hybridMultilevel"/>
    <w:tmpl w:val="1A7425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1"/>
  </w:num>
  <w:num w:numId="6">
    <w:abstractNumId w:val="6"/>
  </w:num>
  <w:num w:numId="7">
    <w:abstractNumId w:val="11"/>
  </w:num>
  <w:num w:numId="8">
    <w:abstractNumId w:val="13"/>
  </w:num>
  <w:num w:numId="9">
    <w:abstractNumId w:val="5"/>
  </w:num>
  <w:num w:numId="10">
    <w:abstractNumId w:val="9"/>
  </w:num>
  <w:num w:numId="11">
    <w:abstractNumId w:val="10"/>
  </w:num>
  <w:num w:numId="12">
    <w:abstractNumId w:val="12"/>
  </w:num>
  <w:num w:numId="13">
    <w:abstractNumId w:val="14"/>
  </w:num>
  <w:num w:numId="14">
    <w:abstractNumId w:val="15"/>
  </w:num>
  <w:num w:numId="15">
    <w:abstractNumId w:val="16"/>
  </w:num>
  <w:num w:numId="16">
    <w:abstractNumId w:val="3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176E2"/>
    <w:rsid w:val="00025571"/>
    <w:rsid w:val="00033C0C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33365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55C81"/>
    <w:rsid w:val="00A85F1B"/>
    <w:rsid w:val="00AA0DED"/>
    <w:rsid w:val="00AC4C8B"/>
    <w:rsid w:val="00AC795F"/>
    <w:rsid w:val="00B14982"/>
    <w:rsid w:val="00BA2BBB"/>
    <w:rsid w:val="00BB2E99"/>
    <w:rsid w:val="00BD179B"/>
    <w:rsid w:val="00BE392A"/>
    <w:rsid w:val="00C007D4"/>
    <w:rsid w:val="00C163E6"/>
    <w:rsid w:val="00C91564"/>
    <w:rsid w:val="00C97066"/>
    <w:rsid w:val="00CB2066"/>
    <w:rsid w:val="00CF7A2F"/>
    <w:rsid w:val="00D447BA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8595D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CA05C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ienhypertexte">
    <w:name w:val="Hyperlink"/>
    <w:basedOn w:val="Policepardfaut"/>
    <w:uiPriority w:val="99"/>
    <w:rsid w:val="000176E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318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8</cp:revision>
  <dcterms:created xsi:type="dcterms:W3CDTF">2025-11-16T14:41:00Z</dcterms:created>
  <dcterms:modified xsi:type="dcterms:W3CDTF">2026-06-22T09:55:00Z</dcterms:modified>
</cp:coreProperties>
</file>